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7B57F6">
        <w:rPr>
          <w:b/>
          <w:sz w:val="24"/>
          <w:u w:val="single"/>
        </w:rPr>
        <w:t>10</w:t>
      </w:r>
      <w:r w:rsidRPr="008B1D5C">
        <w:rPr>
          <w:b/>
          <w:sz w:val="24"/>
          <w:u w:val="single"/>
        </w:rPr>
        <w:t>:</w:t>
      </w:r>
    </w:p>
    <w:p w:rsidR="00CF093F" w:rsidRPr="00F74350" w:rsidRDefault="007B57F6" w:rsidP="00F931A6">
      <w:pPr>
        <w:jc w:val="both"/>
        <w:rPr>
          <w:b/>
          <w:lang w:val="cs-CZ"/>
        </w:rPr>
      </w:pPr>
      <w:r>
        <w:rPr>
          <w:b/>
          <w:lang w:val="cs-CZ"/>
        </w:rPr>
        <w:t>Byl sledován účinek antidepresiva fluoxetinu na změny aktivity antioxidačního enzymu katalázy v jaterní tkáni kapra obecného. Do experimentu byly zařazeny celkem tři skupiny po 10 jedincíc</w:t>
      </w:r>
      <w:r w:rsidR="004E1008">
        <w:rPr>
          <w:b/>
          <w:lang w:val="cs-CZ"/>
        </w:rPr>
        <w:t>h. Jedna skupina byla kontrolní (</w:t>
      </w:r>
      <w:proofErr w:type="gramStart"/>
      <w:r w:rsidR="004E1008">
        <w:rPr>
          <w:b/>
          <w:lang w:val="cs-CZ"/>
        </w:rPr>
        <w:t>tzn.</w:t>
      </w:r>
      <w:proofErr w:type="gramEnd"/>
      <w:r w:rsidR="004E1008">
        <w:rPr>
          <w:b/>
          <w:lang w:val="cs-CZ"/>
        </w:rPr>
        <w:t xml:space="preserve"> </w:t>
      </w:r>
      <w:r>
        <w:rPr>
          <w:b/>
          <w:lang w:val="cs-CZ"/>
        </w:rPr>
        <w:t>do vody</w:t>
      </w:r>
      <w:r w:rsidR="004E1008">
        <w:rPr>
          <w:b/>
          <w:lang w:val="cs-CZ"/>
        </w:rPr>
        <w:t xml:space="preserve"> </w:t>
      </w:r>
      <w:proofErr w:type="gramStart"/>
      <w:r w:rsidR="004E1008">
        <w:rPr>
          <w:b/>
          <w:lang w:val="cs-CZ"/>
        </w:rPr>
        <w:t>nebyla</w:t>
      </w:r>
      <w:proofErr w:type="gramEnd"/>
      <w:r w:rsidR="004E1008">
        <w:rPr>
          <w:b/>
          <w:lang w:val="cs-CZ"/>
        </w:rPr>
        <w:t xml:space="preserve"> aplikována</w:t>
      </w:r>
      <w:r>
        <w:rPr>
          <w:b/>
          <w:lang w:val="cs-CZ"/>
        </w:rPr>
        <w:t xml:space="preserve"> </w:t>
      </w:r>
      <w:r w:rsidR="004E1008">
        <w:rPr>
          <w:b/>
          <w:lang w:val="cs-CZ"/>
        </w:rPr>
        <w:t>testovaná látka)</w:t>
      </w:r>
      <w:r>
        <w:rPr>
          <w:b/>
          <w:lang w:val="cs-CZ"/>
        </w:rPr>
        <w:t xml:space="preserve">. Další dvě skupiny byly pokusné a testovaní jedinci byli vystaveni 2 různým koncentracím fluoxetinu (1 </w:t>
      </w:r>
      <w:r>
        <w:rPr>
          <w:rFonts w:cstheme="minorHAnsi"/>
          <w:b/>
          <w:lang w:val="cs-CZ"/>
        </w:rPr>
        <w:t>µ</w:t>
      </w:r>
      <w:r>
        <w:rPr>
          <w:b/>
          <w:lang w:val="cs-CZ"/>
        </w:rPr>
        <w:t xml:space="preserve">g/l a 100 </w:t>
      </w:r>
      <w:r>
        <w:rPr>
          <w:rFonts w:cstheme="minorHAnsi"/>
          <w:b/>
          <w:lang w:val="cs-CZ"/>
        </w:rPr>
        <w:t>µ</w:t>
      </w:r>
      <w:r>
        <w:rPr>
          <w:b/>
          <w:lang w:val="cs-CZ"/>
        </w:rPr>
        <w:t xml:space="preserve">g/l). Expozice trvala 28 dnů. Po ukončení experimentů byl proveden odběr jednotlivých vzorků. Pro analýzu katalázy byly použity játra. Vlastní kvantifikace aktivity katalázy proběhla spektrofotometricky. </w:t>
      </w:r>
      <w:r w:rsidR="00A417A1">
        <w:rPr>
          <w:b/>
          <w:lang w:val="cs-CZ"/>
        </w:rPr>
        <w:t xml:space="preserve"> </w:t>
      </w:r>
      <w:r w:rsidR="004E1008">
        <w:rPr>
          <w:b/>
          <w:lang w:val="cs-CZ"/>
        </w:rPr>
        <w:t>Zjistěte, zda</w:t>
      </w:r>
      <w:r w:rsidR="00515733">
        <w:rPr>
          <w:b/>
          <w:lang w:val="cs-CZ"/>
        </w:rPr>
        <w:t xml:space="preserve">li existuje rozdíl </w:t>
      </w:r>
      <w:r w:rsidR="00A417A1">
        <w:rPr>
          <w:b/>
          <w:lang w:val="cs-CZ"/>
        </w:rPr>
        <w:t xml:space="preserve">mezi </w:t>
      </w:r>
      <w:r>
        <w:rPr>
          <w:b/>
          <w:lang w:val="cs-CZ"/>
        </w:rPr>
        <w:t>jednotli</w:t>
      </w:r>
      <w:r w:rsidR="004E1008">
        <w:rPr>
          <w:b/>
          <w:lang w:val="cs-CZ"/>
        </w:rPr>
        <w:t>vými skupinami a zhodnoťte, zda</w:t>
      </w:r>
      <w:bookmarkStart w:id="0" w:name="_GoBack"/>
      <w:bookmarkEnd w:id="0"/>
      <w:r>
        <w:rPr>
          <w:b/>
          <w:lang w:val="cs-CZ"/>
        </w:rPr>
        <w:t>li subchronická expozice může vést ke změně aktivity katalázy v jaterní tkáni</w:t>
      </w:r>
      <w:r w:rsidR="00515733">
        <w:rPr>
          <w:b/>
          <w:lang w:val="cs-CZ"/>
        </w:rPr>
        <w:t xml:space="preserve">. U </w:t>
      </w:r>
      <w:r w:rsidR="004B0200">
        <w:rPr>
          <w:b/>
          <w:lang w:val="cs-CZ"/>
        </w:rPr>
        <w:t xml:space="preserve">všech </w:t>
      </w:r>
      <w:r w:rsidR="00515733">
        <w:rPr>
          <w:b/>
          <w:lang w:val="cs-CZ"/>
        </w:rPr>
        <w:t>souborů byla potvrzena normalita dat.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052"/>
        <w:gridCol w:w="2769"/>
        <w:gridCol w:w="2618"/>
      </w:tblGrid>
      <w:tr w:rsidR="004B0200" w:rsidTr="003E229F">
        <w:trPr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:rsidR="004B0200" w:rsidRDefault="004B0200" w:rsidP="00CF093F">
            <w:pPr>
              <w:jc w:val="center"/>
              <w:rPr>
                <w:b/>
              </w:rPr>
            </w:pPr>
          </w:p>
        </w:tc>
        <w:tc>
          <w:tcPr>
            <w:tcW w:w="8439" w:type="dxa"/>
            <w:gridSpan w:val="3"/>
            <w:shd w:val="clear" w:color="auto" w:fill="D9D9D9" w:themeFill="background1" w:themeFillShade="D9"/>
          </w:tcPr>
          <w:p w:rsidR="004B0200" w:rsidRDefault="007B57F6" w:rsidP="007B57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kataláza</w:t>
            </w:r>
            <w:proofErr w:type="spellEnd"/>
            <w:r w:rsidR="004B0200">
              <w:rPr>
                <w:b/>
              </w:rPr>
              <w:t xml:space="preserve"> (</w:t>
            </w:r>
            <w:r w:rsidR="004B0200">
              <w:rPr>
                <w:rFonts w:cstheme="minorHAnsi"/>
                <w:b/>
              </w:rPr>
              <w:t>µ</w:t>
            </w:r>
            <w:proofErr w:type="spellStart"/>
            <w:r>
              <w:rPr>
                <w:rFonts w:cstheme="minorHAnsi"/>
                <w:b/>
              </w:rPr>
              <w:t>mol</w:t>
            </w:r>
            <w:proofErr w:type="spellEnd"/>
            <w:r>
              <w:rPr>
                <w:rFonts w:cstheme="minorHAnsi"/>
                <w:b/>
              </w:rPr>
              <w:t>/min/mg protein</w:t>
            </w:r>
            <w:r w:rsidR="004B0200">
              <w:rPr>
                <w:b/>
              </w:rPr>
              <w:t>)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:rsidR="004B0200" w:rsidRDefault="004B0200" w:rsidP="00CF093F">
            <w:pPr>
              <w:jc w:val="center"/>
              <w:rPr>
                <w:b/>
              </w:rPr>
            </w:pPr>
          </w:p>
        </w:tc>
        <w:tc>
          <w:tcPr>
            <w:tcW w:w="3052" w:type="dxa"/>
            <w:shd w:val="clear" w:color="auto" w:fill="D9D9D9" w:themeFill="background1" w:themeFillShade="D9"/>
          </w:tcPr>
          <w:p w:rsidR="004B0200" w:rsidRDefault="007B57F6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kontrola</w:t>
            </w:r>
            <w:proofErr w:type="spellEnd"/>
          </w:p>
        </w:tc>
        <w:tc>
          <w:tcPr>
            <w:tcW w:w="2769" w:type="dxa"/>
            <w:shd w:val="clear" w:color="auto" w:fill="D9D9D9" w:themeFill="background1" w:themeFillShade="D9"/>
          </w:tcPr>
          <w:p w:rsidR="004B0200" w:rsidRDefault="007B57F6" w:rsidP="008B2BEA">
            <w:pPr>
              <w:jc w:val="center"/>
              <w:rPr>
                <w:b/>
              </w:rPr>
            </w:pPr>
            <w:r>
              <w:rPr>
                <w:b/>
                <w:lang w:val="cs-CZ"/>
              </w:rPr>
              <w:t xml:space="preserve">1 </w:t>
            </w:r>
            <w:r>
              <w:rPr>
                <w:rFonts w:cstheme="minorHAnsi"/>
                <w:b/>
                <w:lang w:val="cs-CZ"/>
              </w:rPr>
              <w:t>µ</w:t>
            </w:r>
            <w:r>
              <w:rPr>
                <w:b/>
                <w:lang w:val="cs-CZ"/>
              </w:rPr>
              <w:t>g/l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:rsidR="004B0200" w:rsidRDefault="007B57F6" w:rsidP="008B2BEA">
            <w:pPr>
              <w:jc w:val="center"/>
              <w:rPr>
                <w:b/>
              </w:rPr>
            </w:pPr>
            <w:r>
              <w:rPr>
                <w:b/>
                <w:lang w:val="cs-CZ"/>
              </w:rPr>
              <w:t xml:space="preserve">100 </w:t>
            </w:r>
            <w:r>
              <w:rPr>
                <w:rFonts w:cstheme="minorHAnsi"/>
                <w:b/>
                <w:lang w:val="cs-CZ"/>
              </w:rPr>
              <w:t>µ</w:t>
            </w:r>
            <w:r>
              <w:rPr>
                <w:b/>
                <w:lang w:val="cs-CZ"/>
              </w:rPr>
              <w:t>g/l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2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325,6</w:t>
            </w:r>
          </w:p>
        </w:tc>
        <w:tc>
          <w:tcPr>
            <w:tcW w:w="2769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356,2</w:t>
            </w:r>
          </w:p>
        </w:tc>
        <w:tc>
          <w:tcPr>
            <w:tcW w:w="2618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659,3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2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336,5</w:t>
            </w:r>
          </w:p>
        </w:tc>
        <w:tc>
          <w:tcPr>
            <w:tcW w:w="2769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312,3</w:t>
            </w:r>
          </w:p>
        </w:tc>
        <w:tc>
          <w:tcPr>
            <w:tcW w:w="2618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714,2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52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345,6</w:t>
            </w:r>
          </w:p>
        </w:tc>
        <w:tc>
          <w:tcPr>
            <w:tcW w:w="2769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345,6</w:t>
            </w:r>
          </w:p>
        </w:tc>
        <w:tc>
          <w:tcPr>
            <w:tcW w:w="2618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699,3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52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301,2</w:t>
            </w:r>
          </w:p>
        </w:tc>
        <w:tc>
          <w:tcPr>
            <w:tcW w:w="2769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312,3</w:t>
            </w:r>
          </w:p>
        </w:tc>
        <w:tc>
          <w:tcPr>
            <w:tcW w:w="2618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689,3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52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322,6</w:t>
            </w:r>
          </w:p>
        </w:tc>
        <w:tc>
          <w:tcPr>
            <w:tcW w:w="2769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336,3</w:t>
            </w:r>
          </w:p>
        </w:tc>
        <w:tc>
          <w:tcPr>
            <w:tcW w:w="2618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713,2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52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366,5</w:t>
            </w:r>
          </w:p>
        </w:tc>
        <w:tc>
          <w:tcPr>
            <w:tcW w:w="2769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347,8</w:t>
            </w:r>
          </w:p>
        </w:tc>
        <w:tc>
          <w:tcPr>
            <w:tcW w:w="2618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700,3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52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2769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359,6</w:t>
            </w:r>
          </w:p>
        </w:tc>
        <w:tc>
          <w:tcPr>
            <w:tcW w:w="2618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735,6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52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322,0</w:t>
            </w:r>
          </w:p>
        </w:tc>
        <w:tc>
          <w:tcPr>
            <w:tcW w:w="2769" w:type="dxa"/>
          </w:tcPr>
          <w:p w:rsidR="004B0200" w:rsidRDefault="007B57F6" w:rsidP="00515733">
            <w:pPr>
              <w:jc w:val="center"/>
              <w:rPr>
                <w:b/>
              </w:rPr>
            </w:pPr>
            <w:r>
              <w:rPr>
                <w:b/>
              </w:rPr>
              <w:t>387,3</w:t>
            </w:r>
          </w:p>
        </w:tc>
        <w:tc>
          <w:tcPr>
            <w:tcW w:w="2618" w:type="dxa"/>
          </w:tcPr>
          <w:p w:rsidR="004B0200" w:rsidRDefault="007B57F6" w:rsidP="00515733">
            <w:pPr>
              <w:jc w:val="center"/>
              <w:rPr>
                <w:b/>
              </w:rPr>
            </w:pPr>
            <w:r>
              <w:rPr>
                <w:b/>
              </w:rPr>
              <w:t>736,5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52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312,3</w:t>
            </w:r>
          </w:p>
        </w:tc>
        <w:tc>
          <w:tcPr>
            <w:tcW w:w="2769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369,8</w:t>
            </w:r>
          </w:p>
        </w:tc>
        <w:tc>
          <w:tcPr>
            <w:tcW w:w="2618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699,2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</w:tcPr>
          <w:p w:rsidR="004B0200" w:rsidRDefault="004B0200" w:rsidP="00CF09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52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341,0</w:t>
            </w:r>
          </w:p>
        </w:tc>
        <w:tc>
          <w:tcPr>
            <w:tcW w:w="2769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356,3</w:t>
            </w:r>
          </w:p>
        </w:tc>
        <w:tc>
          <w:tcPr>
            <w:tcW w:w="2618" w:type="dxa"/>
          </w:tcPr>
          <w:p w:rsidR="004B0200" w:rsidRDefault="007B57F6" w:rsidP="00CF093F">
            <w:pPr>
              <w:jc w:val="center"/>
              <w:rPr>
                <w:b/>
              </w:rPr>
            </w:pPr>
            <w:r>
              <w:rPr>
                <w:b/>
              </w:rPr>
              <w:t>689,4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1B" w:rsidRDefault="0049381B" w:rsidP="00CF093F">
      <w:pPr>
        <w:spacing w:after="0" w:line="240" w:lineRule="auto"/>
      </w:pPr>
      <w:r>
        <w:separator/>
      </w:r>
    </w:p>
  </w:endnote>
  <w:endnote w:type="continuationSeparator" w:id="0">
    <w:p w:rsidR="0049381B" w:rsidRDefault="0049381B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08" w:rsidRPr="004E1008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1B" w:rsidRDefault="0049381B" w:rsidP="00CF093F">
      <w:pPr>
        <w:spacing w:after="0" w:line="240" w:lineRule="auto"/>
      </w:pPr>
      <w:r>
        <w:separator/>
      </w:r>
    </w:p>
  </w:footnote>
  <w:footnote w:type="continuationSeparator" w:id="0">
    <w:p w:rsidR="0049381B" w:rsidRDefault="0049381B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14266"/>
    <w:rsid w:val="001E0BFC"/>
    <w:rsid w:val="002538F3"/>
    <w:rsid w:val="00404AA4"/>
    <w:rsid w:val="004646FE"/>
    <w:rsid w:val="0049381B"/>
    <w:rsid w:val="004B0200"/>
    <w:rsid w:val="004C6662"/>
    <w:rsid w:val="004E1008"/>
    <w:rsid w:val="00515733"/>
    <w:rsid w:val="005253A5"/>
    <w:rsid w:val="00684E51"/>
    <w:rsid w:val="007B57F6"/>
    <w:rsid w:val="008B1D5C"/>
    <w:rsid w:val="008B2BEA"/>
    <w:rsid w:val="00965820"/>
    <w:rsid w:val="00A417A1"/>
    <w:rsid w:val="00A51247"/>
    <w:rsid w:val="00AA607C"/>
    <w:rsid w:val="00AB6DAF"/>
    <w:rsid w:val="00AD14B3"/>
    <w:rsid w:val="00BD2B46"/>
    <w:rsid w:val="00C71F3C"/>
    <w:rsid w:val="00CF093F"/>
    <w:rsid w:val="00DD590D"/>
    <w:rsid w:val="00E22BE6"/>
    <w:rsid w:val="00F05E20"/>
    <w:rsid w:val="00F7435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9FFB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2</cp:revision>
  <dcterms:created xsi:type="dcterms:W3CDTF">2021-10-21T09:26:00Z</dcterms:created>
  <dcterms:modified xsi:type="dcterms:W3CDTF">2021-10-21T09:26:00Z</dcterms:modified>
</cp:coreProperties>
</file>